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5E" w:rsidRPr="004754A5" w:rsidRDefault="00E2565E" w:rsidP="00E2565E">
      <w:pPr>
        <w:spacing w:after="0" w:line="360" w:lineRule="auto"/>
        <w:ind w:left="16" w:right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</w:t>
      </w:r>
      <w:r w:rsidRPr="004754A5">
        <w:rPr>
          <w:rFonts w:ascii="Times New Roman" w:hAnsi="Times New Roman" w:cs="Times New Roman"/>
          <w:b/>
          <w:sz w:val="32"/>
          <w:szCs w:val="32"/>
        </w:rPr>
        <w:t xml:space="preserve">e Gestión  </w:t>
      </w:r>
    </w:p>
    <w:p w:rsidR="00E2565E" w:rsidRDefault="00E2565E" w:rsidP="00E2565E">
      <w:pPr>
        <w:spacing w:after="0" w:line="36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Pr="004754A5" w:rsidRDefault="00E2565E" w:rsidP="00E2565E">
      <w:pPr>
        <w:spacing w:after="0" w:line="360" w:lineRule="auto"/>
        <w:ind w:left="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Plan de Gestión del Desempeño para el </w:t>
      </w:r>
    </w:p>
    <w:p w:rsidR="00E2565E" w:rsidRDefault="00E2565E" w:rsidP="00E2565E">
      <w:pPr>
        <w:spacing w:after="0" w:line="360" w:lineRule="auto"/>
        <w:ind w:left="16" w:right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Periodo</w:t>
      </w:r>
      <w:r w:rsidR="007E4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Enero a </w:t>
      </w:r>
      <w:proofErr w:type="gramStart"/>
      <w:r w:rsidR="007E4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Diciembre</w:t>
      </w:r>
      <w:proofErr w:type="gramEnd"/>
      <w:r w:rsidR="007E4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 2020</w:t>
      </w:r>
    </w:p>
    <w:p w:rsidR="00E2565E" w:rsidRDefault="00E2565E" w:rsidP="00E2565E">
      <w:pPr>
        <w:spacing w:after="0" w:line="36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Pr="004754A5" w:rsidRDefault="00E2565E" w:rsidP="00E2565E">
      <w:pPr>
        <w:spacing w:after="0" w:line="360" w:lineRule="auto"/>
        <w:ind w:left="16" w:right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Designar el Cargo</w:t>
      </w:r>
      <w:r w:rsidRPr="0047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E2565E" w:rsidRDefault="00E2565E" w:rsidP="00E2565E">
      <w:pPr>
        <w:spacing w:after="0" w:line="360" w:lineRule="auto"/>
        <w:ind w:left="16" w:right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5E" w:rsidRPr="004754A5" w:rsidRDefault="00E2565E" w:rsidP="00E2565E">
      <w:pPr>
        <w:pStyle w:val="Ttulo5"/>
        <w:spacing w:before="0" w:line="360" w:lineRule="auto"/>
        <w:ind w:left="300" w:right="50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754A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7AAB"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Ejecutivo </w:t>
      </w:r>
      <w:proofErr w:type="gramStart"/>
      <w:r w:rsidR="006F7AAB"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 </w:t>
      </w:r>
      <w:proofErr w:type="gramEnd"/>
      <w:r w:rsidR="006F7AAB"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2565E" w:rsidRPr="0071109D" w:rsidRDefault="00E2565E" w:rsidP="0071109D">
      <w:pPr>
        <w:pStyle w:val="Ttulo5"/>
        <w:spacing w:before="0" w:line="360" w:lineRule="auto"/>
        <w:ind w:left="300" w:right="50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754A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7AAB"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Técnico </w:t>
      </w:r>
      <w:proofErr w:type="gramStart"/>
      <w:r w:rsidR="006F7AAB"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 </w:t>
      </w:r>
      <w:proofErr w:type="gramEnd"/>
      <w:r w:rsidR="00286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47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) </w:t>
      </w:r>
    </w:p>
    <w:p w:rsidR="00E2565E" w:rsidRPr="004754A5" w:rsidRDefault="00E2565E" w:rsidP="00E2565E">
      <w:pPr>
        <w:spacing w:after="0" w:line="360" w:lineRule="auto"/>
        <w:ind w:left="16" w:right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Datos d</w:t>
      </w:r>
      <w:r w:rsidRPr="0047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el Evaluado (A) </w:t>
      </w:r>
    </w:p>
    <w:p w:rsidR="00E2565E" w:rsidRDefault="00E2565E" w:rsidP="00E2565E">
      <w:pPr>
        <w:spacing w:after="0" w:line="360" w:lineRule="auto"/>
        <w:ind w:lef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Default="00E2565E" w:rsidP="0071109D">
      <w:pPr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Denominación del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Puesto </w:t>
      </w:r>
      <w:r w:rsidR="006F7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="006F7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240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Control Tributario</w:t>
      </w:r>
    </w:p>
    <w:p w:rsidR="00E2565E" w:rsidRDefault="00E2565E" w:rsidP="0071109D">
      <w:pPr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Fecha de acceso al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Puesto </w:t>
      </w:r>
      <w:r w:rsidR="006F7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="006F7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Default="00E2565E" w:rsidP="00E2565E">
      <w:pPr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1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enominación del puesto superior</w:t>
      </w:r>
      <w:r w:rsidR="006F7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11B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Coordinación de Administración y Finanzas</w:t>
      </w:r>
    </w:p>
    <w:p w:rsidR="00E2565E" w:rsidRDefault="00E2565E" w:rsidP="00E2565E">
      <w:pPr>
        <w:spacing w:after="0" w:line="360" w:lineRule="auto"/>
        <w:ind w:lef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Default="00E2565E" w:rsidP="00E2565E">
      <w:pPr>
        <w:spacing w:after="0" w:line="360" w:lineRule="auto"/>
        <w:ind w:left="16" w:right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Datos de</w:t>
      </w:r>
      <w:r w:rsidR="00967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967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Evaluador</w:t>
      </w:r>
      <w:r w:rsidR="00967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(A)   </w:t>
      </w:r>
    </w:p>
    <w:p w:rsidR="00E2565E" w:rsidRDefault="00E2565E" w:rsidP="00E2565E">
      <w:pPr>
        <w:spacing w:after="0" w:line="360" w:lineRule="auto"/>
        <w:ind w:lef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Default="00E2565E" w:rsidP="0071109D">
      <w:pPr>
        <w:tabs>
          <w:tab w:val="left" w:pos="3510"/>
        </w:tabs>
        <w:spacing w:after="0" w:line="24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y </w:t>
      </w:r>
      <w:proofErr w:type="gramStart"/>
      <w:r w:rsidR="00711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Apellido :</w:t>
      </w:r>
      <w:proofErr w:type="gramEnd"/>
      <w:r w:rsidR="00711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Default="00E2565E" w:rsidP="0071109D">
      <w:pPr>
        <w:pStyle w:val="Ttulo6"/>
        <w:spacing w:before="0" w:line="240" w:lineRule="auto"/>
        <w:ind w:left="38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1109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Denominación del Puesto</w:t>
      </w:r>
      <w:r w:rsidR="0071109D" w:rsidRPr="0071109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:</w:t>
      </w:r>
      <w:r w:rsidRPr="0071109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411B2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Alcalde Municipal o miembro de la Corporación Municipal </w:t>
      </w:r>
    </w:p>
    <w:p w:rsid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Apellido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109D" w:rsidRDefault="0071109D" w:rsidP="0071109D">
      <w:pPr>
        <w:pStyle w:val="Ttulo6"/>
        <w:spacing w:before="0" w:line="360" w:lineRule="auto"/>
        <w:ind w:left="38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1109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Denominación del Puesto: </w:t>
      </w:r>
      <w:r w:rsidRPr="007110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Comi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sión Ciudadana de Transparencia</w:t>
      </w:r>
    </w:p>
    <w:p w:rsid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Apellido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109D" w:rsidRPr="0071109D" w:rsidRDefault="0071109D" w:rsidP="0071109D">
      <w:pPr>
        <w:pStyle w:val="Ttulo6"/>
        <w:spacing w:before="0" w:line="360" w:lineRule="auto"/>
        <w:ind w:left="38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71109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Denominación del Puesto: </w:t>
      </w:r>
      <w:r w:rsidR="00411B2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Comisionado Municipal</w:t>
      </w:r>
    </w:p>
    <w:p w:rsidR="0071109D" w:rsidRPr="0071109D" w:rsidRDefault="0071109D" w:rsidP="0071109D"/>
    <w:p w:rsid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Apellido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109D" w:rsidRPr="0071109D" w:rsidRDefault="0071109D" w:rsidP="0071109D">
      <w:pPr>
        <w:tabs>
          <w:tab w:val="left" w:pos="3510"/>
        </w:tabs>
        <w:spacing w:after="0" w:line="360" w:lineRule="auto"/>
        <w:ind w:left="38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110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Denominación del Puesto</w:t>
      </w:r>
      <w:r w:rsidRPr="007110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  <w:r w:rsidRPr="007110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1D59" w:rsidRPr="00BB1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Unidad Municipal de Administración de Personal</w:t>
      </w:r>
      <w:r w:rsidR="00411B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(UMAP)</w:t>
      </w:r>
    </w:p>
    <w:p w:rsidR="0071109D" w:rsidRPr="0071109D" w:rsidRDefault="0071109D" w:rsidP="0071109D"/>
    <w:p w:rsidR="00E2565E" w:rsidRDefault="00E2565E" w:rsidP="003F6D3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5E" w:rsidRPr="004754A5" w:rsidRDefault="00E2565E" w:rsidP="00E2565E">
      <w:pPr>
        <w:spacing w:after="0" w:line="360" w:lineRule="auto"/>
        <w:ind w:left="16" w:right="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Información d</w:t>
      </w:r>
      <w:r w:rsidRPr="0047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 Puesto</w:t>
      </w:r>
    </w:p>
    <w:p w:rsidR="00E2565E" w:rsidRDefault="00E2565E" w:rsidP="00E2565E">
      <w:pPr>
        <w:spacing w:after="0" w:line="360" w:lineRule="auto"/>
        <w:ind w:left="16" w:right="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E2565E" w:rsidRDefault="00E2565E" w:rsidP="00E2565E">
      <w:pPr>
        <w:spacing w:after="0" w:line="360" w:lineRule="auto"/>
        <w:ind w:left="67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este apartado se han de describir cuales son las finalidades principales del puesto de trabajo que esta evaluado. Es </w:t>
      </w:r>
      <w:r w:rsidR="00E5026D">
        <w:rPr>
          <w:rFonts w:ascii="Times New Roman" w:hAnsi="Times New Roman" w:cs="Times New Roman"/>
          <w:color w:val="000000" w:themeColor="text1"/>
          <w:sz w:val="24"/>
          <w:szCs w:val="24"/>
        </w:rPr>
        <w:t>decir,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cuáles son las responsabilidades de la persona que ocupa el puesto y cuáles son los resultados a conseguir   </w:t>
      </w:r>
    </w:p>
    <w:p w:rsidR="00E2565E" w:rsidRDefault="00E2565E" w:rsidP="00E2565E">
      <w:pPr>
        <w:spacing w:after="0" w:line="360" w:lineRule="auto"/>
        <w:ind w:left="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65E" w:rsidRPr="00411B2A" w:rsidRDefault="00E2565E" w:rsidP="00E2565E">
      <w:pPr>
        <w:spacing w:after="0" w:line="360" w:lineRule="auto"/>
        <w:ind w:left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Finalidades del Puesto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1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411B2A">
        <w:rPr>
          <w:rFonts w:ascii="Times New Roman" w:hAnsi="Times New Roman" w:cs="Times New Roman"/>
          <w:b/>
          <w:color w:val="FF0000"/>
          <w:sz w:val="24"/>
          <w:szCs w:val="24"/>
        </w:rPr>
        <w:t>Revisar de acuerdo al manual de clasificación de puestos y salarios de la Municipalidad aprobado por la Corporación Municipal)</w:t>
      </w:r>
    </w:p>
    <w:p w:rsidR="00411B2A" w:rsidRPr="00BE5F44" w:rsidRDefault="00E2565E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1.</w:t>
      </w:r>
      <w:r w:rsidR="004F6EA7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411B2A" w:rsidRPr="00BE5F44">
        <w:rPr>
          <w:rFonts w:ascii="Times New Roman" w:eastAsia="Times New Roman" w:hAnsi="Times New Roman" w:cs="Times New Roman"/>
          <w:bCs/>
        </w:rPr>
        <w:t xml:space="preserve">Planificar y coordinar con </w:t>
      </w:r>
      <w:r w:rsidR="00411B2A">
        <w:rPr>
          <w:rFonts w:ascii="Times New Roman" w:eastAsia="Times New Roman" w:hAnsi="Times New Roman" w:cs="Times New Roman"/>
          <w:bCs/>
        </w:rPr>
        <w:t>el Departamento</w:t>
      </w:r>
      <w:r w:rsidR="00411B2A" w:rsidRPr="00BE5F44">
        <w:rPr>
          <w:rFonts w:ascii="Times New Roman" w:eastAsia="Times New Roman" w:hAnsi="Times New Roman" w:cs="Times New Roman"/>
          <w:bCs/>
        </w:rPr>
        <w:t xml:space="preserve"> de Administración y Finanzas las estrategias en materia de Recaudación y Recuperación de Proyectos de Inversión. </w:t>
      </w:r>
    </w:p>
    <w:p w:rsidR="00411B2A" w:rsidRPr="00BE5F44" w:rsidRDefault="00411B2A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E5F44">
        <w:rPr>
          <w:rFonts w:ascii="Times New Roman" w:eastAsia="Times New Roman" w:hAnsi="Times New Roman" w:cs="Times New Roman"/>
          <w:bCs/>
        </w:rPr>
        <w:t xml:space="preserve">Elaborar reporte de ingresos en conjunto con el Encargado de Presupuesto y contabilidad. </w:t>
      </w:r>
    </w:p>
    <w:p w:rsidR="00411B2A" w:rsidRPr="00BE5F44" w:rsidRDefault="00411B2A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E5F44">
        <w:rPr>
          <w:rFonts w:ascii="Times New Roman" w:eastAsia="Times New Roman" w:hAnsi="Times New Roman" w:cs="Times New Roman"/>
          <w:bCs/>
        </w:rPr>
        <w:t xml:space="preserve">Llevar control de los Ingresos Corrientes Municipales. </w:t>
      </w:r>
    </w:p>
    <w:p w:rsidR="00411B2A" w:rsidRPr="00BE5F44" w:rsidRDefault="00411B2A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E5F44">
        <w:rPr>
          <w:rFonts w:ascii="Times New Roman" w:eastAsia="Times New Roman" w:hAnsi="Times New Roman" w:cs="Times New Roman"/>
          <w:bCs/>
        </w:rPr>
        <w:t xml:space="preserve">Apoyar en la elaboración de Modificaciones al Plan de Arbitrios, y las normas presupuestarias. </w:t>
      </w:r>
    </w:p>
    <w:p w:rsidR="00411B2A" w:rsidRPr="00BE5F44" w:rsidRDefault="00411B2A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E5F44">
        <w:rPr>
          <w:rFonts w:ascii="Times New Roman" w:eastAsia="Times New Roman" w:hAnsi="Times New Roman" w:cs="Times New Roman"/>
          <w:bCs/>
        </w:rPr>
        <w:t xml:space="preserve">Colaborar con </w:t>
      </w:r>
      <w:r>
        <w:rPr>
          <w:rFonts w:ascii="Times New Roman" w:eastAsia="Times New Roman" w:hAnsi="Times New Roman" w:cs="Times New Roman"/>
          <w:bCs/>
        </w:rPr>
        <w:t>el</w:t>
      </w:r>
      <w:r w:rsidRPr="00BE5F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Departamento</w:t>
      </w:r>
      <w:r w:rsidRPr="00BE5F44">
        <w:rPr>
          <w:rFonts w:ascii="Times New Roman" w:eastAsia="Times New Roman" w:hAnsi="Times New Roman" w:cs="Times New Roman"/>
          <w:bCs/>
        </w:rPr>
        <w:t xml:space="preserve"> de Finanzas en la Planeación de sistemas informáticos de uso en el registro y control de las declaraciones y pago de los Contribuyentes. </w:t>
      </w:r>
    </w:p>
    <w:p w:rsidR="00411B2A" w:rsidRPr="00BE5F44" w:rsidRDefault="00411B2A" w:rsidP="00411B2A">
      <w:pPr>
        <w:pStyle w:val="Default"/>
        <w:numPr>
          <w:ilvl w:val="0"/>
          <w:numId w:val="3"/>
        </w:numPr>
        <w:spacing w:after="65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E5F44">
        <w:rPr>
          <w:rFonts w:ascii="Times New Roman" w:eastAsia="Times New Roman" w:hAnsi="Times New Roman" w:cs="Times New Roman"/>
          <w:bCs/>
        </w:rPr>
        <w:t xml:space="preserve">Elaborar y remitir informes mensualmente a la </w:t>
      </w:r>
      <w:r>
        <w:rPr>
          <w:rFonts w:ascii="Times New Roman" w:eastAsia="Times New Roman" w:hAnsi="Times New Roman" w:cs="Times New Roman"/>
          <w:bCs/>
        </w:rPr>
        <w:t>Coordinación de Administración y</w:t>
      </w:r>
      <w:r w:rsidRPr="00BE5F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F</w:t>
      </w:r>
      <w:r w:rsidRPr="00BE5F44">
        <w:rPr>
          <w:rFonts w:ascii="Times New Roman" w:eastAsia="Times New Roman" w:hAnsi="Times New Roman" w:cs="Times New Roman"/>
          <w:bCs/>
        </w:rPr>
        <w:t xml:space="preserve">inanzas y otras dependencias. </w:t>
      </w:r>
    </w:p>
    <w:p w:rsidR="00FF5F8B" w:rsidRDefault="00411B2A" w:rsidP="00FF5F8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FF5F8B">
        <w:rPr>
          <w:rFonts w:ascii="Times New Roman" w:eastAsia="Times New Roman" w:hAnsi="Times New Roman" w:cs="Times New Roman"/>
          <w:bCs/>
        </w:rPr>
        <w:t xml:space="preserve">Solicitar informes de ingresos a cada unidad municipal de acuerdo a sus actividades. </w:t>
      </w:r>
    </w:p>
    <w:p w:rsidR="00411B2A" w:rsidRPr="00FF5F8B" w:rsidRDefault="00411B2A" w:rsidP="00FF5F8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FF5F8B">
        <w:rPr>
          <w:rFonts w:ascii="Times New Roman" w:eastAsia="Times New Roman" w:hAnsi="Times New Roman" w:cs="Times New Roman"/>
          <w:bCs/>
        </w:rPr>
        <w:t xml:space="preserve">Realizar las tareas a fines que se asignen. </w:t>
      </w: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411B2A" w:rsidRDefault="00411B2A" w:rsidP="00411B2A">
      <w:pPr>
        <w:spacing w:after="0" w:line="360" w:lineRule="auto"/>
        <w:ind w:left="2"/>
        <w:rPr>
          <w:rFonts w:ascii="Times New Roman" w:eastAsia="Times New Roman" w:hAnsi="Times New Roman" w:cs="Times New Roman"/>
          <w:bCs/>
        </w:rPr>
      </w:pPr>
    </w:p>
    <w:p w:rsidR="00E2565E" w:rsidRPr="00F12C93" w:rsidRDefault="00E2565E" w:rsidP="00411B2A">
      <w:pPr>
        <w:spacing w:after="0" w:line="360" w:lineRule="auto"/>
        <w:ind w:left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NO OLVIDAR QUE LA SUMA DE PONDERACIÓN DEBE SER 100% </w:t>
      </w:r>
    </w:p>
    <w:tbl>
      <w:tblPr>
        <w:tblStyle w:val="TableGrid"/>
        <w:tblW w:w="104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2227"/>
        <w:gridCol w:w="1753"/>
        <w:gridCol w:w="1365"/>
      </w:tblGrid>
      <w:tr w:rsidR="00E2565E" w:rsidTr="00C6656F">
        <w:trPr>
          <w:trHeight w:val="532"/>
          <w:tblHeader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844"/>
            <w:hideMark/>
          </w:tcPr>
          <w:p w:rsidR="00E2565E" w:rsidRDefault="00E2565E" w:rsidP="00397446">
            <w:pPr>
              <w:ind w:right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Objetivo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844"/>
            <w:hideMark/>
          </w:tcPr>
          <w:p w:rsidR="00E2565E" w:rsidRDefault="00E2565E" w:rsidP="00397446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Ponderación 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844"/>
            <w:hideMark/>
          </w:tcPr>
          <w:p w:rsidR="00E2565E" w:rsidRDefault="00E2565E" w:rsidP="00397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Criterio de Medida 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844"/>
            <w:hideMark/>
          </w:tcPr>
          <w:p w:rsidR="00E2565E" w:rsidRDefault="00E2565E" w:rsidP="00397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Nivel de Cumplimiento 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844"/>
            <w:hideMark/>
          </w:tcPr>
          <w:p w:rsidR="00E2565E" w:rsidRDefault="00E2565E" w:rsidP="00397446">
            <w:pPr>
              <w:ind w:left="5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Resultado </w:t>
            </w:r>
          </w:p>
        </w:tc>
      </w:tr>
      <w:tr w:rsidR="00E2565E" w:rsidTr="00C6656F">
        <w:trPr>
          <w:trHeight w:val="259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A7" w:rsidRPr="00DD7CA7" w:rsidRDefault="00E03EA1" w:rsidP="00DD7CA7">
            <w:pPr>
              <w:spacing w:after="0" w:line="360" w:lineRule="auto"/>
              <w:ind w:lef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</w:t>
            </w:r>
            <w:r w:rsidR="0049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9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noviembre</w:t>
            </w:r>
            <w:r w:rsidR="004971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29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4971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el año 2020 </w:t>
            </w:r>
            <w:r w:rsidR="00F429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 logrará una</w:t>
            </w:r>
            <w:r w:rsidR="00DD7CA7"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6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recaudación</w:t>
            </w:r>
            <w:r w:rsidR="00DD7CA7"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 los </w:t>
            </w:r>
            <w:r w:rsidR="00C66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impuestos y tasas </w:t>
            </w:r>
            <w:r w:rsidR="00F429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ingresos presupuestados según estimación presupuestaria aprobado por la Corporación Municipal</w:t>
            </w:r>
            <w:r w:rsidR="00DD7CA7"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para lograr el cumplimiento del presupuesto de ingresos</w:t>
            </w:r>
            <w:r w:rsidR="00F429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en un 7</w:t>
            </w:r>
            <w:r w:rsidR="00C66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  <w:r w:rsidR="00DD7CA7"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23170" w:rsidRPr="00723170" w:rsidRDefault="00723170" w:rsidP="00DD7CA7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226" w:rsidRDefault="00C51226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1226" w:rsidRDefault="00C51226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65E" w:rsidRDefault="00FF5F8B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12C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C51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69C8" w:rsidRDefault="00DD7CA7" w:rsidP="00E50773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Reportes</w:t>
            </w:r>
            <w:r w:rsidR="00C6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mensuales</w:t>
            </w:r>
          </w:p>
          <w:p w:rsidR="00DD7CA7" w:rsidRPr="00E50773" w:rsidRDefault="00F42968" w:rsidP="00E50773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Presupuesto 2020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MB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A84E8C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 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565E" w:rsidTr="00C6656F">
        <w:trPr>
          <w:trHeight w:val="2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65E" w:rsidRDefault="00286D5F" w:rsidP="000C59C4">
            <w:pPr>
              <w:spacing w:after="0" w:line="360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D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="00C6656F" w:rsidRPr="00092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C5D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noviembre d</w:t>
            </w:r>
            <w:r w:rsidR="00C665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el año 2020 </w:t>
            </w:r>
            <w:r w:rsidR="006D1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 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encuentra actualizado</w:t>
            </w:r>
            <w:r w:rsidR="008957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en los 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sistemas informáticos  </w:t>
            </w:r>
            <w:r w:rsidR="008957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manual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es</w:t>
            </w:r>
            <w:r w:rsidR="008957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D1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tarjetas únicas de contribuyentes 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los datos tributarios de al menos 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de 10 contribuyentes del área 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urbana y 5</w:t>
            </w:r>
            <w:r w:rsidR="00496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de 10 del área rural del municipio 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 una muestra aleatoria en forma </w:t>
            </w:r>
            <w:r w:rsidR="000C5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acumulada y 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mensual en coordinación</w:t>
            </w:r>
            <w:r w:rsidR="000C5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con la dirección de J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usticia </w:t>
            </w:r>
            <w:r w:rsidR="000C5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Municipal UMA 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catastro</w:t>
            </w:r>
            <w:r w:rsidR="000C5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Municipal</w:t>
            </w:r>
            <w:r w:rsidR="00973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51226" w:rsidRDefault="00C51226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226" w:rsidRDefault="00C51226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226" w:rsidRPr="00C51226" w:rsidRDefault="00C51226" w:rsidP="00C51226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12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8AD" w:rsidRDefault="00496785" w:rsidP="006D1F53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Listado de contribuyentes</w:t>
            </w:r>
            <w:r w:rsidR="00C6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F53" w:rsidRDefault="000C59C4" w:rsidP="006D1F53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  <w:r w:rsidR="006D1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Tarjetas únicas de contribuyentes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MB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</w:t>
            </w:r>
          </w:p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565E" w:rsidRDefault="00E2565E" w:rsidP="00E2565E">
            <w:pPr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565E" w:rsidTr="00444116">
        <w:trPr>
          <w:trHeight w:val="545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59C4" w:rsidRPr="006837E8" w:rsidRDefault="00E2565E" w:rsidP="007A43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III.</w:t>
            </w:r>
            <w:r w:rsidR="00286D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D7CA7">
              <w:t xml:space="preserve"> 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viembre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2020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estará diseñada y aprobada 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el formato de la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encuentra tributaria de 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conformidad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lo establecido en </w:t>
            </w:r>
            <w:r w:rsidR="006837E8" w:rsidRP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 Ley de Municipalidad,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su reglamento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 presentada a la 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corporación municipal de 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 solicitud de </w:t>
            </w:r>
            <w:r w:rsidR="00683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aplicación de la encuesta para el año 2021</w:t>
            </w:r>
            <w:r w:rsidR="00F813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que permita la actualización de la base de datos de contribuyentes de la municipalidad </w:t>
            </w:r>
          </w:p>
          <w:p w:rsidR="000C59C4" w:rsidRDefault="000C59C4" w:rsidP="007A433D">
            <w:pPr>
              <w:spacing w:line="360" w:lineRule="auto"/>
              <w:jc w:val="left"/>
            </w:pPr>
          </w:p>
          <w:p w:rsidR="00E2565E" w:rsidRDefault="00E2565E" w:rsidP="00E03EA1">
            <w:pPr>
              <w:spacing w:after="0" w:line="360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51226" w:rsidRDefault="00C51226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226" w:rsidRPr="00C51226" w:rsidRDefault="00C51226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21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18AD" w:rsidRDefault="00444116" w:rsidP="0038402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Formato de encuesta tributaria aprobada</w:t>
            </w:r>
          </w:p>
          <w:p w:rsidR="00444116" w:rsidRPr="00384024" w:rsidRDefault="00444116" w:rsidP="0038402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Certificación del acta de sesión de la corporación municipal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MB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565E" w:rsidRDefault="00E2565E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4116" w:rsidTr="00444116">
        <w:trPr>
          <w:trHeight w:val="303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16" w:rsidRPr="00DD7CA7" w:rsidRDefault="00444116" w:rsidP="0044411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IV.-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noviembre del año 2020 se </w:t>
            </w:r>
            <w:r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reducir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á</w:t>
            </w:r>
            <w:r w:rsidRPr="00DD7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en un 5% la mora Tributaria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vencida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implementando los procesos establecidos en la Ley de Municipalidades y su Reglamento mejorando la gestión municipal</w:t>
            </w:r>
          </w:p>
          <w:p w:rsidR="00444116" w:rsidRDefault="00444116" w:rsidP="00E03EA1">
            <w:pPr>
              <w:spacing w:after="0" w:line="360" w:lineRule="auto"/>
              <w:ind w:left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16" w:rsidRDefault="00444116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5F8B" w:rsidRDefault="00FF5F8B" w:rsidP="00C5122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C51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8B" w:rsidRDefault="00FF5F8B" w:rsidP="00FF5F8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Listado en físico de la mora tributaria municipal para el año 2019</w:t>
            </w:r>
          </w:p>
          <w:p w:rsidR="00444116" w:rsidRDefault="00FF5F8B" w:rsidP="00FF5F8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Listado en físico del pago de la mora durante el año 2020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8B" w:rsidRDefault="00444116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MB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  <w:p w:rsidR="00FF5F8B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44116" w:rsidRDefault="00FF5F8B" w:rsidP="00FF5F8B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16" w:rsidRDefault="00444116" w:rsidP="00397446">
            <w:pPr>
              <w:spacing w:line="360" w:lineRule="auto"/>
              <w:ind w:left="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65497" w:rsidRDefault="00465497" w:rsidP="0084728D">
      <w:bookmarkStart w:id="0" w:name="_GoBack"/>
      <w:bookmarkEnd w:id="0"/>
    </w:p>
    <w:sectPr w:rsidR="00465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C12"/>
    <w:multiLevelType w:val="hybridMultilevel"/>
    <w:tmpl w:val="33E074AE"/>
    <w:lvl w:ilvl="0" w:tplc="04BE5BE8">
      <w:start w:val="4"/>
      <w:numFmt w:val="bullet"/>
      <w:lvlText w:val="-"/>
      <w:lvlJc w:val="left"/>
      <w:pPr>
        <w:ind w:left="361" w:hanging="360"/>
      </w:pPr>
      <w:rPr>
        <w:rFonts w:ascii="Times New Roman" w:eastAsiaTheme="minorEastAsia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A587963"/>
    <w:multiLevelType w:val="hybridMultilevel"/>
    <w:tmpl w:val="97BA1F6C"/>
    <w:lvl w:ilvl="0" w:tplc="D1AEB574">
      <w:start w:val="4"/>
      <w:numFmt w:val="bullet"/>
      <w:lvlText w:val="-"/>
      <w:lvlJc w:val="left"/>
      <w:pPr>
        <w:ind w:left="421" w:hanging="360"/>
      </w:pPr>
      <w:rPr>
        <w:rFonts w:ascii="Times New Roman" w:eastAsiaTheme="minorEastAsia" w:hAnsi="Times New Roman" w:cs="Times New Roman" w:hint="default"/>
        <w:b/>
      </w:rPr>
    </w:lvl>
    <w:lvl w:ilvl="1" w:tplc="480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" w15:restartNumberingAfterBreak="0">
    <w:nsid w:val="23800B4F"/>
    <w:multiLevelType w:val="multilevel"/>
    <w:tmpl w:val="48A2F7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E"/>
    <w:rsid w:val="00087080"/>
    <w:rsid w:val="000C38D8"/>
    <w:rsid w:val="000C59C4"/>
    <w:rsid w:val="00174462"/>
    <w:rsid w:val="001C5D6C"/>
    <w:rsid w:val="00286D5F"/>
    <w:rsid w:val="002B7D80"/>
    <w:rsid w:val="002E733C"/>
    <w:rsid w:val="00384024"/>
    <w:rsid w:val="00397446"/>
    <w:rsid w:val="003D69C8"/>
    <w:rsid w:val="003F6D3A"/>
    <w:rsid w:val="00411B2A"/>
    <w:rsid w:val="00444116"/>
    <w:rsid w:val="00445D47"/>
    <w:rsid w:val="00445DD1"/>
    <w:rsid w:val="00465497"/>
    <w:rsid w:val="00496785"/>
    <w:rsid w:val="00497186"/>
    <w:rsid w:val="004F6EA7"/>
    <w:rsid w:val="00621574"/>
    <w:rsid w:val="006837E8"/>
    <w:rsid w:val="006929AA"/>
    <w:rsid w:val="006D1F53"/>
    <w:rsid w:val="006F7AAB"/>
    <w:rsid w:val="0071109D"/>
    <w:rsid w:val="00723170"/>
    <w:rsid w:val="007818AD"/>
    <w:rsid w:val="007A433D"/>
    <w:rsid w:val="007E4388"/>
    <w:rsid w:val="007F260E"/>
    <w:rsid w:val="0084728D"/>
    <w:rsid w:val="008957EE"/>
    <w:rsid w:val="00897D42"/>
    <w:rsid w:val="009008EA"/>
    <w:rsid w:val="00967D65"/>
    <w:rsid w:val="00973D07"/>
    <w:rsid w:val="00A642AB"/>
    <w:rsid w:val="00A84E8C"/>
    <w:rsid w:val="00AA16A7"/>
    <w:rsid w:val="00B50928"/>
    <w:rsid w:val="00BB1D59"/>
    <w:rsid w:val="00C51226"/>
    <w:rsid w:val="00C654B5"/>
    <w:rsid w:val="00C6656F"/>
    <w:rsid w:val="00D86DB0"/>
    <w:rsid w:val="00D90245"/>
    <w:rsid w:val="00DD7CA7"/>
    <w:rsid w:val="00E03EA1"/>
    <w:rsid w:val="00E22420"/>
    <w:rsid w:val="00E240EA"/>
    <w:rsid w:val="00E2565E"/>
    <w:rsid w:val="00E5026D"/>
    <w:rsid w:val="00E50773"/>
    <w:rsid w:val="00EC4C98"/>
    <w:rsid w:val="00EE225F"/>
    <w:rsid w:val="00F12C93"/>
    <w:rsid w:val="00F42968"/>
    <w:rsid w:val="00F81376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CA9B4"/>
  <w15:chartTrackingRefBased/>
  <w15:docId w15:val="{273A82F3-2787-40C4-A220-D650395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5E"/>
    <w:pPr>
      <w:spacing w:after="200" w:line="276" w:lineRule="auto"/>
    </w:pPr>
    <w:rPr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256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56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6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2565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565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65E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table" w:customStyle="1" w:styleId="TableGrid">
    <w:name w:val="TableGrid"/>
    <w:rsid w:val="00E2565E"/>
    <w:pPr>
      <w:spacing w:after="0" w:line="240" w:lineRule="auto"/>
      <w:jc w:val="both"/>
    </w:pPr>
    <w:rPr>
      <w:rFonts w:eastAsiaTheme="minorEastAsia"/>
      <w:lang w:val="es-HN"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51226"/>
    <w:pPr>
      <w:ind w:left="720"/>
      <w:contextualSpacing/>
    </w:pPr>
  </w:style>
  <w:style w:type="paragraph" w:customStyle="1" w:styleId="Default">
    <w:name w:val="Default"/>
    <w:uiPriority w:val="99"/>
    <w:rsid w:val="00411B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Onilda Castellanos</dc:creator>
  <cp:keywords/>
  <dc:description/>
  <cp:lastModifiedBy>Cliente</cp:lastModifiedBy>
  <cp:revision>24</cp:revision>
  <dcterms:created xsi:type="dcterms:W3CDTF">2019-12-18T23:05:00Z</dcterms:created>
  <dcterms:modified xsi:type="dcterms:W3CDTF">2020-05-22T01:03:00Z</dcterms:modified>
</cp:coreProperties>
</file>